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5655" w14:textId="77777777" w:rsidR="009D062B" w:rsidRPr="009D062B" w:rsidRDefault="005F11D3" w:rsidP="009D062B">
      <w:r>
        <w:rPr>
          <w:noProof/>
        </w:rPr>
        <w:drawing>
          <wp:inline distT="0" distB="0" distL="0" distR="0" wp14:anchorId="75022BFF" wp14:editId="6F5EC37B">
            <wp:extent cx="7315200" cy="990600"/>
            <wp:effectExtent l="0" t="0" r="0" b="0"/>
            <wp:docPr id="1" name="Picture 1" descr="HCA Internal Fact Sheet Bann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A Internal Fact Sheet Banne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DB17" w14:textId="77777777" w:rsidR="006B6997" w:rsidRPr="009D062B" w:rsidRDefault="005F11D3" w:rsidP="00610E80">
      <w:pPr>
        <w:jc w:val="center"/>
        <w:rPr>
          <w:rFonts w:ascii="Tahoma" w:hAnsi="Tahoma" w:cs="Tahoma"/>
          <w:color w:val="00B0F0"/>
          <w:sz w:val="36"/>
        </w:rPr>
      </w:pPr>
      <w:r w:rsidRPr="009D062B">
        <w:rPr>
          <w:rFonts w:ascii="Tahoma" w:hAnsi="Tahoma" w:cs="Tahoma"/>
          <w:color w:val="00B0F0"/>
          <w:sz w:val="36"/>
        </w:rPr>
        <w:t>Results HCA: Our performance management system</w:t>
      </w:r>
    </w:p>
    <w:p w14:paraId="54D1BD86" w14:textId="77777777" w:rsidR="00BD5DEA" w:rsidRPr="009D062B" w:rsidRDefault="00BD5DEA" w:rsidP="009D062B">
      <w:pPr>
        <w:rPr>
          <w:b/>
          <w:color w:val="FFE599" w:themeColor="accent4" w:themeTint="66"/>
          <w:sz w:val="32"/>
        </w:rPr>
      </w:pPr>
      <w:r w:rsidRPr="009D062B">
        <w:rPr>
          <w:b/>
          <w:color w:val="FFE599" w:themeColor="accent4" w:themeTint="66"/>
          <w:sz w:val="32"/>
        </w:rPr>
        <w:t>About Results HCA</w:t>
      </w:r>
    </w:p>
    <w:p w14:paraId="0D60920D" w14:textId="77777777" w:rsidR="00BD5DEA" w:rsidRDefault="00156911" w:rsidP="00F62C34">
      <w:r>
        <w:rPr>
          <w:noProof/>
        </w:rPr>
        <w:drawing>
          <wp:anchor distT="0" distB="0" distL="114300" distR="114300" simplePos="0" relativeHeight="251659264" behindDoc="0" locked="0" layoutInCell="1" allowOverlap="1" wp14:anchorId="217E2A9D" wp14:editId="0035964A">
            <wp:simplePos x="0" y="0"/>
            <wp:positionH relativeFrom="column">
              <wp:posOffset>4968240</wp:posOffset>
            </wp:positionH>
            <wp:positionV relativeFrom="paragraph">
              <wp:posOffset>32385</wp:posOffset>
            </wp:positionV>
            <wp:extent cx="1883664" cy="1335024"/>
            <wp:effectExtent l="38100" t="38100" r="97790" b="9398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33502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D3" w:rsidRPr="00BD5DEA">
        <w:t xml:space="preserve">Results HCA is </w:t>
      </w:r>
      <w:r w:rsidR="00BD5DEA" w:rsidRPr="00BD5DEA">
        <w:t xml:space="preserve">how we </w:t>
      </w:r>
      <w:r w:rsidR="00BD5DEA" w:rsidRPr="003C78E5">
        <w:t>measure</w:t>
      </w:r>
      <w:r w:rsidR="00BD5DEA" w:rsidRPr="00BD5DEA">
        <w:t xml:space="preserve"> our </w:t>
      </w:r>
      <w:r w:rsidR="00BD5DEA">
        <w:t>performance. We measure performance at the agency level, as well as at each division level. We have several tools that help us manage the system:</w:t>
      </w:r>
      <w:r w:rsidR="00F62C34">
        <w:t xml:space="preserve"> </w:t>
      </w:r>
      <w:r w:rsidR="00BD5DEA">
        <w:t xml:space="preserve">The fundamentals </w:t>
      </w:r>
      <w:proofErr w:type="gramStart"/>
      <w:r w:rsidR="00BD5DEA">
        <w:t>map</w:t>
      </w:r>
      <w:proofErr w:type="gramEnd"/>
      <w:r w:rsidR="001D7213" w:rsidRPr="001D7213">
        <w:rPr>
          <w:rFonts w:ascii="Calibri" w:hAnsi="Calibri"/>
          <w:noProof/>
          <w:color w:val="auto"/>
          <w:sz w:val="22"/>
        </w:rPr>
        <w:t xml:space="preserve"> </w:t>
      </w:r>
    </w:p>
    <w:p w14:paraId="4CCFC46E" w14:textId="77777777" w:rsidR="00BD5DEA" w:rsidRDefault="00BD5DEA" w:rsidP="00F62C34">
      <w:r>
        <w:t xml:space="preserve">Our agency </w:t>
      </w:r>
      <w:r w:rsidRPr="003C78E5">
        <w:t>fundamentals</w:t>
      </w:r>
      <w:r>
        <w:t xml:space="preserve"> map shows our mission, vision, values, key goals, outcome measures, and routine work. It is a process view of our work, not an </w:t>
      </w:r>
      <w:r w:rsidRPr="00F62C34">
        <w:t>organization</w:t>
      </w:r>
      <w:r>
        <w:t xml:space="preserve"> chart.</w:t>
      </w:r>
    </w:p>
    <w:p w14:paraId="59AF8348" w14:textId="77777777" w:rsidR="00610E80" w:rsidRDefault="00156911" w:rsidP="00F62C34">
      <w:r w:rsidRPr="00156911">
        <w:t xml:space="preserve">Much like Gov. Jay Inslee's </w:t>
      </w:r>
      <w:r w:rsidRPr="00610E80">
        <w:rPr>
          <w:b/>
        </w:rPr>
        <w:t>Results Washington</w:t>
      </w:r>
      <w:r w:rsidRPr="00156911">
        <w:t xml:space="preserve"> initiative</w:t>
      </w:r>
      <w:r w:rsidR="00610E80">
        <w:t xml:space="preserve"> (</w:t>
      </w:r>
      <w:hyperlink r:id="rId9" w:history="1">
        <w:r w:rsidR="00610E80" w:rsidRPr="00CE1C7D">
          <w:rPr>
            <w:rStyle w:val="Hyperlink"/>
          </w:rPr>
          <w:t>http://www.results.wa.gov/</w:t>
        </w:r>
      </w:hyperlink>
      <w:r w:rsidR="00610E80">
        <w:t>)</w:t>
      </w:r>
      <w:r w:rsidRPr="00156911">
        <w:t>, Results HCA helps us track and measure progress in key areas of our work. Through Results HCA, we use data to celebrate our successes and plan for improvement where needed.</w:t>
      </w:r>
      <w:r w:rsidR="00610E80">
        <w:t xml:space="preserve"> </w:t>
      </w:r>
    </w:p>
    <w:p w14:paraId="3D4C3A65" w14:textId="77777777" w:rsidR="00B37809" w:rsidRDefault="00610E80" w:rsidP="00F62C34">
      <w:r>
        <w:t>(For more information, read the article</w:t>
      </w:r>
      <w:r w:rsidR="00BC14DB">
        <w:t>,</w:t>
      </w:r>
      <w:r>
        <w:t xml:space="preserve"> </w:t>
      </w:r>
      <w:r>
        <w:rPr>
          <w:i/>
        </w:rPr>
        <w:t>Why p</w:t>
      </w:r>
      <w:r w:rsidRPr="00610E80">
        <w:rPr>
          <w:i/>
        </w:rPr>
        <w:t>erformance measures matter</w:t>
      </w:r>
      <w:r w:rsidR="00BC14DB">
        <w:rPr>
          <w:i/>
        </w:rPr>
        <w:t>,</w:t>
      </w:r>
      <w:r>
        <w:t xml:space="preserve"> by PW Ingraham</w:t>
      </w:r>
      <w:r w:rsidRPr="00610E80">
        <w:t xml:space="preserve">, PG Joyce, </w:t>
      </w:r>
      <w:r>
        <w:t xml:space="preserve">and </w:t>
      </w:r>
      <w:r w:rsidRPr="00610E80">
        <w:t>AK Donahue</w:t>
      </w:r>
      <w:r>
        <w:t xml:space="preserve">. </w:t>
      </w:r>
      <w:hyperlink r:id="rId10" w:history="1">
        <w:r w:rsidRPr="00CE1C7D">
          <w:rPr>
            <w:rStyle w:val="Hyperlink"/>
          </w:rPr>
          <w:t>https://books.google.com/books?hl=en&amp;lr=&amp;id=6tdYJsFzfzIC</w:t>
        </w:r>
      </w:hyperlink>
      <w:r>
        <w:t>)</w:t>
      </w:r>
    </w:p>
    <w:p w14:paraId="30691B58" w14:textId="77777777" w:rsidR="00F64EBD" w:rsidRPr="009D062B" w:rsidRDefault="00BD5DEA" w:rsidP="00F64EBD">
      <w:pPr>
        <w:rPr>
          <w:b/>
          <w:color w:val="FFE599" w:themeColor="accent4" w:themeTint="66"/>
          <w:sz w:val="32"/>
        </w:rPr>
      </w:pPr>
      <w:r w:rsidRPr="00F64EBD">
        <w:rPr>
          <w:b/>
          <w:color w:val="FFE599" w:themeColor="accent4" w:themeTint="66"/>
          <w:sz w:val="32"/>
        </w:rPr>
        <w:t>Quarterly Target Reviews</w:t>
      </w:r>
    </w:p>
    <w:p w14:paraId="4B4AD2F7" w14:textId="77777777" w:rsidR="00BD5DEA" w:rsidRDefault="009D062B" w:rsidP="00BD5DEA">
      <w:r>
        <w:rPr>
          <w:noProof/>
        </w:rPr>
        <w:drawing>
          <wp:anchor distT="0" distB="0" distL="114300" distR="114300" simplePos="0" relativeHeight="251660288" behindDoc="0" locked="0" layoutInCell="1" allowOverlap="1" wp14:anchorId="22D352C7" wp14:editId="201B511F">
            <wp:simplePos x="0" y="0"/>
            <wp:positionH relativeFrom="column">
              <wp:posOffset>4919345</wp:posOffset>
            </wp:positionH>
            <wp:positionV relativeFrom="paragraph">
              <wp:posOffset>44450</wp:posOffset>
            </wp:positionV>
            <wp:extent cx="1856232" cy="1444752"/>
            <wp:effectExtent l="38100" t="38100" r="86995" b="98425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6232" cy="1444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DEA" w:rsidRPr="009B301A">
        <w:t>Quarterly meeting</w:t>
      </w:r>
      <w:r w:rsidR="00BD5DEA">
        <w:t>s</w:t>
      </w:r>
      <w:r w:rsidR="00BD5DEA" w:rsidRPr="009B301A">
        <w:t xml:space="preserve"> to review the</w:t>
      </w:r>
      <w:r w:rsidR="00BD5DEA">
        <w:rPr>
          <w:b/>
        </w:rPr>
        <w:t xml:space="preserve"> </w:t>
      </w:r>
      <w:r w:rsidR="00BD5DEA" w:rsidRPr="009B301A">
        <w:t>performance of our agency measures.</w:t>
      </w:r>
      <w:r w:rsidR="00BD5DEA">
        <w:rPr>
          <w:b/>
        </w:rPr>
        <w:t xml:space="preserve"> </w:t>
      </w:r>
      <w:r w:rsidR="00BD5DEA" w:rsidRPr="009B301A">
        <w:t>There is an agency-level Quarterly Target Review</w:t>
      </w:r>
      <w:r w:rsidR="00BD5DEA">
        <w:t xml:space="preserve"> (QTR)</w:t>
      </w:r>
      <w:r w:rsidR="00BD5DEA" w:rsidRPr="009B301A">
        <w:t xml:space="preserve">, attended by Extended Management Team, and then division-level </w:t>
      </w:r>
      <w:proofErr w:type="spellStart"/>
      <w:r w:rsidR="00BD5DEA">
        <w:t>QTRs</w:t>
      </w:r>
      <w:r w:rsidR="00BD5DEA" w:rsidRPr="009B301A">
        <w:t>.</w:t>
      </w:r>
      <w:proofErr w:type="spellEnd"/>
    </w:p>
    <w:p w14:paraId="108C18F6" w14:textId="77777777" w:rsidR="001D7213" w:rsidRPr="00F64EBD" w:rsidRDefault="00BD5DEA" w:rsidP="00BD5DEA">
      <w:pPr>
        <w:rPr>
          <w:rFonts w:ascii="Tahoma" w:hAnsi="Tahoma" w:cs="Tahoma"/>
          <w:color w:val="auto"/>
          <w:sz w:val="24"/>
        </w:rPr>
      </w:pPr>
      <w:r w:rsidRPr="00F64EBD">
        <w:rPr>
          <w:rFonts w:ascii="Tahoma" w:hAnsi="Tahoma" w:cs="Tahoma"/>
          <w:color w:val="auto"/>
          <w:sz w:val="24"/>
        </w:rPr>
        <w:t xml:space="preserve">The </w:t>
      </w:r>
      <w:r w:rsidR="00F64EBD" w:rsidRPr="00F64EBD">
        <w:rPr>
          <w:rFonts w:ascii="Tahoma" w:hAnsi="Tahoma" w:cs="Tahoma"/>
          <w:color w:val="auto"/>
          <w:sz w:val="24"/>
        </w:rPr>
        <w:t>QTRs</w:t>
      </w:r>
      <w:r w:rsidR="00610E80">
        <w:rPr>
          <w:rFonts w:ascii="Tahoma" w:hAnsi="Tahoma" w:cs="Tahoma"/>
          <w:color w:val="auto"/>
          <w:sz w:val="24"/>
        </w:rPr>
        <w:t>:</w:t>
      </w:r>
    </w:p>
    <w:p w14:paraId="69A656ED" w14:textId="77777777" w:rsidR="001D7213" w:rsidRPr="0033569A" w:rsidRDefault="00F64EBD" w:rsidP="00AA7E63">
      <w:pPr>
        <w:ind w:left="720"/>
      </w:pPr>
      <w:r>
        <w:t xml:space="preserve">&gt; </w:t>
      </w:r>
      <w:r w:rsidR="001D7213">
        <w:t>Are a frequent reminder of what is most important (up, down and across the organization)</w:t>
      </w:r>
      <w:r w:rsidR="00610E80">
        <w:t>.</w:t>
      </w:r>
    </w:p>
    <w:p w14:paraId="2D61BFD4" w14:textId="77777777" w:rsidR="001D7213" w:rsidRPr="0033569A" w:rsidRDefault="00F64EBD" w:rsidP="00AA7E63">
      <w:pPr>
        <w:ind w:left="720"/>
      </w:pPr>
      <w:r>
        <w:t xml:space="preserve">&gt; </w:t>
      </w:r>
      <w:r w:rsidR="001D7213">
        <w:t>Reinforce accountability and the importance of taking effective action</w:t>
      </w:r>
      <w:r w:rsidR="00610E80">
        <w:t>.</w:t>
      </w:r>
    </w:p>
    <w:p w14:paraId="1A08F9EA" w14:textId="77777777" w:rsidR="001D7213" w:rsidRDefault="00F64EBD" w:rsidP="00AA7E63">
      <w:pPr>
        <w:ind w:left="720"/>
      </w:pPr>
      <w:r>
        <w:t xml:space="preserve">&gt; </w:t>
      </w:r>
      <w:r w:rsidR="001D7213">
        <w:t>Make performance visible in a safe environment</w:t>
      </w:r>
      <w:r w:rsidR="00610E80">
        <w:t>.</w:t>
      </w:r>
    </w:p>
    <w:p w14:paraId="65684DF0" w14:textId="77777777" w:rsidR="001D7213" w:rsidRDefault="00F64EBD" w:rsidP="00AA7E63">
      <w:pPr>
        <w:ind w:left="720"/>
      </w:pPr>
      <w:r>
        <w:t xml:space="preserve">&gt; </w:t>
      </w:r>
      <w:r w:rsidR="001D7213">
        <w:t>Enable people involved to share the joy of accomplishment</w:t>
      </w:r>
      <w:r w:rsidR="00610E80">
        <w:t>.</w:t>
      </w:r>
    </w:p>
    <w:p w14:paraId="6D82D869" w14:textId="77777777" w:rsidR="001D7213" w:rsidRDefault="00F64EBD" w:rsidP="00AA7E63">
      <w:pPr>
        <w:ind w:left="720"/>
      </w:pPr>
      <w:r>
        <w:t xml:space="preserve">&gt; </w:t>
      </w:r>
      <w:r w:rsidR="001D7213">
        <w:t>Instill confidence and hope</w:t>
      </w:r>
      <w:r w:rsidR="00610E80">
        <w:t>.</w:t>
      </w:r>
    </w:p>
    <w:p w14:paraId="4FB52762" w14:textId="77777777" w:rsidR="001D7213" w:rsidRDefault="00F64EBD" w:rsidP="00AA7E63">
      <w:pPr>
        <w:ind w:left="720"/>
      </w:pPr>
      <w:r>
        <w:t xml:space="preserve">&gt; </w:t>
      </w:r>
      <w:r w:rsidR="00610E80">
        <w:t>Keep</w:t>
      </w:r>
      <w:r w:rsidR="001D7213">
        <w:t xml:space="preserve"> everyone focused on results and outcomes, not just activity</w:t>
      </w:r>
      <w:r w:rsidR="00610E80">
        <w:t>.</w:t>
      </w:r>
    </w:p>
    <w:p w14:paraId="73B4C286" w14:textId="77777777" w:rsidR="001D7213" w:rsidRDefault="00F64EBD" w:rsidP="00AA7E63">
      <w:pPr>
        <w:ind w:left="720"/>
      </w:pPr>
      <w:r>
        <w:t xml:space="preserve">&gt; </w:t>
      </w:r>
      <w:r w:rsidR="00610E80">
        <w:t>Set</w:t>
      </w:r>
      <w:r w:rsidR="001D7213">
        <w:t xml:space="preserve"> the stage for addressing problems while moving toward objectives</w:t>
      </w:r>
      <w:r w:rsidR="00610E80">
        <w:t>.</w:t>
      </w:r>
    </w:p>
    <w:p w14:paraId="78978C68" w14:textId="77777777" w:rsidR="00B37809" w:rsidRDefault="00F64EBD" w:rsidP="00AA7E63">
      <w:pPr>
        <w:ind w:left="720"/>
      </w:pPr>
      <w:r>
        <w:t xml:space="preserve">&gt; </w:t>
      </w:r>
      <w:r w:rsidR="00610E80">
        <w:t>Create</w:t>
      </w:r>
      <w:r w:rsidR="001D7213">
        <w:t xml:space="preserve"> a heartbeat for “plan, do, check, act</w:t>
      </w:r>
      <w:r w:rsidR="00610E80">
        <w:t>.</w:t>
      </w:r>
      <w:r w:rsidR="001D7213">
        <w:t>”</w:t>
      </w:r>
    </w:p>
    <w:p w14:paraId="68F26A30" w14:textId="77777777" w:rsidR="005477BC" w:rsidRPr="00F64EBD" w:rsidRDefault="00BD5DEA" w:rsidP="00610E80">
      <w:pPr>
        <w:pageBreakBefore/>
        <w:rPr>
          <w:b/>
          <w:color w:val="FFE599" w:themeColor="accent4" w:themeTint="66"/>
          <w:sz w:val="32"/>
        </w:rPr>
      </w:pPr>
      <w:r w:rsidRPr="00F64EBD">
        <w:rPr>
          <w:b/>
          <w:color w:val="FFE599" w:themeColor="accent4" w:themeTint="66"/>
          <w:sz w:val="32"/>
        </w:rPr>
        <w:lastRenderedPageBreak/>
        <w:t>Scorecards</w:t>
      </w:r>
    </w:p>
    <w:p w14:paraId="36E0AFBF" w14:textId="77777777" w:rsidR="0022273B" w:rsidRDefault="009D062B" w:rsidP="00BD5DEA">
      <w:r>
        <w:rPr>
          <w:noProof/>
        </w:rPr>
        <w:drawing>
          <wp:anchor distT="0" distB="0" distL="114300" distR="114300" simplePos="0" relativeHeight="251658240" behindDoc="0" locked="0" layoutInCell="1" allowOverlap="1" wp14:anchorId="5303D64C" wp14:editId="5540F8C0">
            <wp:simplePos x="0" y="0"/>
            <wp:positionH relativeFrom="column">
              <wp:posOffset>4884420</wp:posOffset>
            </wp:positionH>
            <wp:positionV relativeFrom="paragraph">
              <wp:posOffset>114300</wp:posOffset>
            </wp:positionV>
            <wp:extent cx="1874520" cy="1069848"/>
            <wp:effectExtent l="114300" t="114300" r="125730" b="149860"/>
            <wp:wrapSquare wrapText="lef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4520" cy="10698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7BC">
        <w:t>T</w:t>
      </w:r>
      <w:r w:rsidR="00BD5DEA">
        <w:t xml:space="preserve">rack measures, definitions, target performance ranges and actual performance for </w:t>
      </w:r>
      <w:proofErr w:type="spellStart"/>
      <w:r w:rsidR="00BD5DEA">
        <w:t>QTRs.</w:t>
      </w:r>
      <w:proofErr w:type="spellEnd"/>
    </w:p>
    <w:p w14:paraId="64C2F2F9" w14:textId="77777777" w:rsidR="009C0B67" w:rsidRDefault="009C0B67" w:rsidP="00BD5DEA"/>
    <w:p w14:paraId="25F02A54" w14:textId="77777777" w:rsidR="009C0B67" w:rsidRDefault="009C0B67" w:rsidP="00BD5DEA"/>
    <w:p w14:paraId="09949343" w14:textId="77777777" w:rsidR="009C0B67" w:rsidRDefault="009C0B67" w:rsidP="00BD5DEA"/>
    <w:p w14:paraId="23E23467" w14:textId="77777777" w:rsidR="0005056E" w:rsidRPr="0005056E" w:rsidRDefault="0005056E" w:rsidP="0005056E">
      <w:pPr>
        <w:rPr>
          <w:b/>
          <w:color w:val="FFE599" w:themeColor="accent4" w:themeTint="66"/>
          <w:sz w:val="32"/>
        </w:rPr>
      </w:pPr>
      <w:r w:rsidRPr="0005056E">
        <w:rPr>
          <w:b/>
          <w:color w:val="FFE599" w:themeColor="accent4" w:themeTint="66"/>
          <w:sz w:val="32"/>
        </w:rPr>
        <w:t>HCA QTR completion rate by division</w:t>
      </w: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05056E" w14:paraId="12E5E309" w14:textId="77777777" w:rsidTr="00AA7E63">
        <w:tc>
          <w:tcPr>
            <w:tcW w:w="2880" w:type="dxa"/>
          </w:tcPr>
          <w:p w14:paraId="38011CB3" w14:textId="77777777" w:rsidR="0005056E" w:rsidRDefault="009C0B67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Division</w:t>
            </w:r>
          </w:p>
        </w:tc>
        <w:tc>
          <w:tcPr>
            <w:tcW w:w="2880" w:type="dxa"/>
          </w:tcPr>
          <w:p w14:paraId="1DB6CB3B" w14:textId="77777777" w:rsidR="0005056E" w:rsidRPr="009C0B67" w:rsidRDefault="001F5705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t>Measure one</w:t>
            </w:r>
          </w:p>
        </w:tc>
        <w:tc>
          <w:tcPr>
            <w:tcW w:w="2880" w:type="dxa"/>
          </w:tcPr>
          <w:p w14:paraId="089F65DC" w14:textId="77777777" w:rsidR="0005056E" w:rsidRPr="009C0B67" w:rsidRDefault="001F5705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t>Measure two</w:t>
            </w:r>
          </w:p>
        </w:tc>
        <w:tc>
          <w:tcPr>
            <w:tcW w:w="2880" w:type="dxa"/>
          </w:tcPr>
          <w:p w14:paraId="66137113" w14:textId="77777777" w:rsidR="0005056E" w:rsidRPr="009C0B67" w:rsidRDefault="001F5705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t>Measure three</w:t>
            </w:r>
          </w:p>
        </w:tc>
      </w:tr>
      <w:tr w:rsidR="0005056E" w14:paraId="5A29F8B5" w14:textId="77777777" w:rsidTr="0005056E">
        <w:tc>
          <w:tcPr>
            <w:tcW w:w="2302" w:type="dxa"/>
          </w:tcPr>
          <w:p w14:paraId="184390C9" w14:textId="77777777" w:rsidR="0005056E" w:rsidRDefault="009C0B67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Office of the Director</w:t>
            </w:r>
          </w:p>
        </w:tc>
        <w:tc>
          <w:tcPr>
            <w:tcW w:w="2302" w:type="dxa"/>
          </w:tcPr>
          <w:p w14:paraId="7316318E" w14:textId="77777777" w:rsidR="0005056E" w:rsidRDefault="00610E80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80%</w:t>
            </w:r>
          </w:p>
        </w:tc>
        <w:tc>
          <w:tcPr>
            <w:tcW w:w="2302" w:type="dxa"/>
          </w:tcPr>
          <w:p w14:paraId="3577F9D1" w14:textId="77777777" w:rsidR="0005056E" w:rsidRDefault="00610E80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90%</w:t>
            </w:r>
          </w:p>
        </w:tc>
        <w:tc>
          <w:tcPr>
            <w:tcW w:w="2302" w:type="dxa"/>
          </w:tcPr>
          <w:p w14:paraId="56B789B0" w14:textId="77777777" w:rsidR="0005056E" w:rsidRDefault="00610E80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85%</w:t>
            </w:r>
          </w:p>
        </w:tc>
      </w:tr>
      <w:tr w:rsidR="00AA7E63" w14:paraId="773DCBCF" w14:textId="77777777" w:rsidTr="00AA7E63">
        <w:tc>
          <w:tcPr>
            <w:tcW w:w="2302" w:type="dxa"/>
          </w:tcPr>
          <w:p w14:paraId="17371471" w14:textId="77777777" w:rsidR="00AA7E63" w:rsidRDefault="00AA7E63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Office of Audit and Accountability</w:t>
            </w:r>
          </w:p>
        </w:tc>
        <w:tc>
          <w:tcPr>
            <w:tcW w:w="2302" w:type="dxa"/>
          </w:tcPr>
          <w:p w14:paraId="371800FA" w14:textId="77777777" w:rsidR="00AA7E63" w:rsidRDefault="00AA7E63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92%</w:t>
            </w:r>
          </w:p>
        </w:tc>
        <w:tc>
          <w:tcPr>
            <w:tcW w:w="2302" w:type="dxa"/>
          </w:tcPr>
          <w:p w14:paraId="2EEA4D10" w14:textId="77777777" w:rsidR="00AA7E63" w:rsidRDefault="00AA7E63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87%</w:t>
            </w:r>
          </w:p>
        </w:tc>
        <w:tc>
          <w:tcPr>
            <w:tcW w:w="2302" w:type="dxa"/>
            <w:vMerge w:val="restart"/>
            <w:vAlign w:val="center"/>
          </w:tcPr>
          <w:p w14:paraId="6D9B3B46" w14:textId="77777777" w:rsidR="00AA7E63" w:rsidRDefault="00AA7E63" w:rsidP="00AA7E63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91%</w:t>
            </w:r>
          </w:p>
        </w:tc>
      </w:tr>
      <w:tr w:rsidR="00AA7E63" w14:paraId="5E89AD9B" w14:textId="77777777" w:rsidTr="00AA7E63">
        <w:tc>
          <w:tcPr>
            <w:tcW w:w="2880" w:type="dxa"/>
          </w:tcPr>
          <w:p w14:paraId="18C0CD3F" w14:textId="77777777" w:rsidR="00AA7E63" w:rsidRDefault="00AA7E63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Clinical Quality and Care Transformation</w:t>
            </w:r>
          </w:p>
        </w:tc>
        <w:tc>
          <w:tcPr>
            <w:tcW w:w="2880" w:type="dxa"/>
          </w:tcPr>
          <w:p w14:paraId="378EA5E8" w14:textId="77777777" w:rsidR="00AA7E63" w:rsidRDefault="00AA7E63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88%</w:t>
            </w:r>
          </w:p>
        </w:tc>
        <w:tc>
          <w:tcPr>
            <w:tcW w:w="2880" w:type="dxa"/>
          </w:tcPr>
          <w:p w14:paraId="767F7BB6" w14:textId="77777777" w:rsidR="00AA7E63" w:rsidRDefault="00AA7E63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  <w:r>
              <w:rPr>
                <w:color w:val="262626"/>
              </w:rPr>
              <w:t>82%</w:t>
            </w:r>
          </w:p>
        </w:tc>
        <w:tc>
          <w:tcPr>
            <w:tcW w:w="2880" w:type="dxa"/>
            <w:vMerge/>
          </w:tcPr>
          <w:p w14:paraId="13B9EB6F" w14:textId="77777777" w:rsidR="00AA7E63" w:rsidRDefault="00AA7E63" w:rsidP="0005056E">
            <w:pPr>
              <w:tabs>
                <w:tab w:val="left" w:pos="4320"/>
                <w:tab w:val="left" w:pos="8640"/>
              </w:tabs>
              <w:rPr>
                <w:color w:val="262626"/>
              </w:rPr>
            </w:pPr>
          </w:p>
        </w:tc>
      </w:tr>
    </w:tbl>
    <w:p w14:paraId="62D5FA8F" w14:textId="77777777" w:rsidR="0005056E" w:rsidRDefault="0005056E" w:rsidP="0005056E">
      <w:pPr>
        <w:tabs>
          <w:tab w:val="left" w:pos="4320"/>
          <w:tab w:val="left" w:pos="8640"/>
        </w:tabs>
        <w:rPr>
          <w:color w:val="262626"/>
        </w:rPr>
      </w:pPr>
    </w:p>
    <w:p w14:paraId="45FA2554" w14:textId="77777777" w:rsidR="00C91303" w:rsidRPr="00C91303" w:rsidRDefault="00C91303" w:rsidP="0005056E">
      <w:pPr>
        <w:tabs>
          <w:tab w:val="left" w:pos="4320"/>
          <w:tab w:val="left" w:pos="8640"/>
        </w:tabs>
        <w:rPr>
          <w:color w:val="262626"/>
        </w:rPr>
      </w:pPr>
      <w:r w:rsidRPr="00C91303">
        <w:rPr>
          <w:color w:val="262626"/>
        </w:rPr>
        <w:t xml:space="preserve">Learn more at </w:t>
      </w:r>
      <w:proofErr w:type="gramStart"/>
      <w:r w:rsidRPr="00C91303">
        <w:rPr>
          <w:color w:val="262626"/>
        </w:rPr>
        <w:t>https://inside.hca.wa.gov/our-hca/results-hca</w:t>
      </w:r>
      <w:proofErr w:type="gramEnd"/>
    </w:p>
    <w:p w14:paraId="2876D824" w14:textId="77777777" w:rsidR="00C91303" w:rsidRDefault="00C91303" w:rsidP="00BD5DEA"/>
    <w:p w14:paraId="724EA1A3" w14:textId="77777777" w:rsidR="005477BC" w:rsidRDefault="005477BC" w:rsidP="00BD5DEA"/>
    <w:p w14:paraId="4D9BCBC5" w14:textId="77777777" w:rsidR="005477BC" w:rsidRDefault="005477BC" w:rsidP="00BD5DEA"/>
    <w:p w14:paraId="6CE53196" w14:textId="77777777" w:rsidR="00846B8B" w:rsidRDefault="00846B8B" w:rsidP="009D062B">
      <w:pPr>
        <w:pStyle w:val="Heading1"/>
        <w:rPr>
          <w:noProof/>
        </w:rPr>
      </w:pPr>
    </w:p>
    <w:p w14:paraId="2FAC2C59" w14:textId="77777777" w:rsidR="00B37809" w:rsidRPr="009D062B" w:rsidRDefault="00B37809" w:rsidP="009D062B">
      <w:pPr>
        <w:pStyle w:val="Heading2"/>
        <w:rPr>
          <w:rStyle w:val="Emphasis"/>
        </w:rPr>
      </w:pPr>
    </w:p>
    <w:p w14:paraId="7B2E18B0" w14:textId="77777777" w:rsidR="00B37809" w:rsidRPr="009D062B" w:rsidRDefault="00B37809" w:rsidP="009D062B">
      <w:pPr>
        <w:pStyle w:val="Heading3"/>
        <w:rPr>
          <w:rStyle w:val="Strong"/>
        </w:rPr>
      </w:pPr>
    </w:p>
    <w:p w14:paraId="32760748" w14:textId="77777777" w:rsidR="00E27B08" w:rsidRPr="00BD5DEA" w:rsidRDefault="00E27B08" w:rsidP="003C78E5">
      <w:pPr>
        <w:rPr>
          <w:noProof/>
        </w:rPr>
      </w:pPr>
    </w:p>
    <w:sectPr w:rsidR="00E27B08" w:rsidRPr="00BD5DEA" w:rsidSect="00F62C34">
      <w:type w:val="continuous"/>
      <w:pgSz w:w="12240" w:h="15840"/>
      <w:pgMar w:top="360" w:right="360" w:bottom="360" w:left="36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C9E9" w14:textId="77777777" w:rsidR="004E1E76" w:rsidRDefault="004E1E76" w:rsidP="004E1E76">
      <w:pPr>
        <w:spacing w:after="0" w:line="240" w:lineRule="auto"/>
      </w:pPr>
      <w:r>
        <w:separator/>
      </w:r>
    </w:p>
  </w:endnote>
  <w:endnote w:type="continuationSeparator" w:id="0">
    <w:p w14:paraId="6A6F63A5" w14:textId="77777777" w:rsidR="004E1E76" w:rsidRDefault="004E1E76" w:rsidP="004E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C11B" w14:textId="77777777" w:rsidR="004E1E76" w:rsidRDefault="004E1E76" w:rsidP="004E1E76">
      <w:pPr>
        <w:spacing w:after="0" w:line="240" w:lineRule="auto"/>
      </w:pPr>
      <w:r>
        <w:separator/>
      </w:r>
    </w:p>
  </w:footnote>
  <w:footnote w:type="continuationSeparator" w:id="0">
    <w:p w14:paraId="71F1B58B" w14:textId="77777777" w:rsidR="004E1E76" w:rsidRDefault="004E1E76" w:rsidP="004E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E9B"/>
    <w:multiLevelType w:val="hybridMultilevel"/>
    <w:tmpl w:val="C0D2C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23D"/>
    <w:multiLevelType w:val="hybridMultilevel"/>
    <w:tmpl w:val="C71637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A87BF8"/>
    <w:multiLevelType w:val="hybridMultilevel"/>
    <w:tmpl w:val="7A3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48CC"/>
    <w:multiLevelType w:val="hybridMultilevel"/>
    <w:tmpl w:val="7A1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7E58"/>
    <w:multiLevelType w:val="hybridMultilevel"/>
    <w:tmpl w:val="366EA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D9322A"/>
    <w:multiLevelType w:val="hybridMultilevel"/>
    <w:tmpl w:val="6144010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D3"/>
    <w:rsid w:val="00013C01"/>
    <w:rsid w:val="00036501"/>
    <w:rsid w:val="0005056E"/>
    <w:rsid w:val="00156911"/>
    <w:rsid w:val="001D7213"/>
    <w:rsid w:val="001F5705"/>
    <w:rsid w:val="0022273B"/>
    <w:rsid w:val="002B1D45"/>
    <w:rsid w:val="00356ACB"/>
    <w:rsid w:val="003832EE"/>
    <w:rsid w:val="003C78E5"/>
    <w:rsid w:val="003F2313"/>
    <w:rsid w:val="003F3470"/>
    <w:rsid w:val="00441FBE"/>
    <w:rsid w:val="004756A3"/>
    <w:rsid w:val="004E1E76"/>
    <w:rsid w:val="005477BC"/>
    <w:rsid w:val="005F11D3"/>
    <w:rsid w:val="00610E80"/>
    <w:rsid w:val="006B6997"/>
    <w:rsid w:val="00775854"/>
    <w:rsid w:val="00846B8B"/>
    <w:rsid w:val="009C0B67"/>
    <w:rsid w:val="009D062B"/>
    <w:rsid w:val="00AA7E63"/>
    <w:rsid w:val="00B23A4F"/>
    <w:rsid w:val="00B37809"/>
    <w:rsid w:val="00B7445C"/>
    <w:rsid w:val="00BC14DB"/>
    <w:rsid w:val="00BD5DEA"/>
    <w:rsid w:val="00C43C19"/>
    <w:rsid w:val="00C6114B"/>
    <w:rsid w:val="00C83123"/>
    <w:rsid w:val="00C91303"/>
    <w:rsid w:val="00DF4AB4"/>
    <w:rsid w:val="00DF6B65"/>
    <w:rsid w:val="00E27B08"/>
    <w:rsid w:val="00E60425"/>
    <w:rsid w:val="00EB4394"/>
    <w:rsid w:val="00ED4832"/>
    <w:rsid w:val="00F03916"/>
    <w:rsid w:val="00F62C34"/>
    <w:rsid w:val="00F64EBD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F58372"/>
  <w15:chartTrackingRefBased/>
  <w15:docId w15:val="{D1420D56-6D36-44CA-B502-99B4649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01"/>
    <w:pPr>
      <w:spacing w:after="200" w:line="276" w:lineRule="auto"/>
    </w:pPr>
    <w:rPr>
      <w:rFonts w:ascii="Cambria" w:hAnsi="Cambria"/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F62C34"/>
    <w:pPr>
      <w:keepNext/>
      <w:spacing w:before="240" w:after="60"/>
      <w:outlineLvl w:val="0"/>
    </w:pPr>
    <w:rPr>
      <w:rFonts w:ascii="Tahoma" w:eastAsia="Times New Roman" w:hAnsi="Tahoma"/>
      <w:bCs/>
      <w:color w:val="1C639F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D062B"/>
    <w:pPr>
      <w:keepNext/>
      <w:keepLines/>
      <w:spacing w:before="40" w:after="0"/>
      <w:outlineLvl w:val="1"/>
    </w:pPr>
    <w:rPr>
      <w:rFonts w:eastAsiaTheme="majorEastAsia" w:cstheme="majorBidi"/>
      <w:b/>
      <w:color w:val="CFA05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62B"/>
    <w:pPr>
      <w:keepNext/>
      <w:keepLines/>
      <w:spacing w:before="40" w:after="0"/>
      <w:outlineLvl w:val="2"/>
    </w:pPr>
    <w:rPr>
      <w:rFonts w:ascii="Tahoma" w:eastAsiaTheme="majorEastAsia" w:hAnsi="Tahoma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9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62B"/>
    <w:rPr>
      <w:rFonts w:ascii="Cambria" w:eastAsiaTheme="majorEastAsia" w:hAnsi="Cambria" w:cstheme="majorBidi"/>
      <w:b/>
      <w:color w:val="CFA05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62B"/>
    <w:rPr>
      <w:rFonts w:ascii="Tahoma" w:eastAsiaTheme="majorEastAsia" w:hAnsi="Tahoma" w:cstheme="majorBidi"/>
      <w:color w:val="404040" w:themeColor="text1" w:themeTint="BF"/>
      <w:sz w:val="28"/>
      <w:szCs w:val="24"/>
    </w:rPr>
  </w:style>
  <w:style w:type="character" w:styleId="Strong">
    <w:name w:val="Strong"/>
    <w:basedOn w:val="DefaultParagraphFont"/>
    <w:uiPriority w:val="22"/>
    <w:rsid w:val="009D062B"/>
    <w:rPr>
      <w:b/>
      <w:bCs/>
    </w:rPr>
  </w:style>
  <w:style w:type="character" w:styleId="Emphasis">
    <w:name w:val="Emphasis"/>
    <w:basedOn w:val="DefaultParagraphFont"/>
    <w:uiPriority w:val="20"/>
    <w:rsid w:val="009D062B"/>
    <w:rPr>
      <w:i/>
      <w:iCs/>
    </w:rPr>
  </w:style>
  <w:style w:type="table" w:styleId="TableGrid">
    <w:name w:val="Table Grid"/>
    <w:basedOn w:val="TableNormal"/>
    <w:uiPriority w:val="59"/>
    <w:rsid w:val="0005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E80"/>
    <w:rPr>
      <w:color w:val="0563C1" w:themeColor="hyperlink"/>
      <w:u w:val="single"/>
    </w:rPr>
  </w:style>
  <w:style w:type="character" w:customStyle="1" w:styleId="Heading1Char">
    <w:name w:val="Heading 1 Char"/>
    <w:link w:val="Heading1"/>
    <w:uiPriority w:val="9"/>
    <w:rsid w:val="00F62C34"/>
    <w:rPr>
      <w:rFonts w:ascii="Tahoma" w:eastAsia="Times New Roman" w:hAnsi="Tahoma"/>
      <w:bCs/>
      <w:color w:val="1C639F"/>
      <w:kern w:val="32"/>
      <w:sz w:val="44"/>
      <w:szCs w:val="32"/>
    </w:rPr>
  </w:style>
  <w:style w:type="character" w:styleId="SubtleReference">
    <w:name w:val="Subtle Reference"/>
    <w:uiPriority w:val="31"/>
    <w:rsid w:val="006B6997"/>
    <w:rPr>
      <w:smallCaps/>
      <w:color w:val="C0504D"/>
      <w:u w:val="single"/>
    </w:rPr>
  </w:style>
  <w:style w:type="character" w:styleId="IntenseEmphasis">
    <w:name w:val="Intense Emphasis"/>
    <w:uiPriority w:val="21"/>
    <w:rsid w:val="006B699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BD5DEA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4E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books.google.com/books?hl=en&amp;lr=&amp;id=6tdYJsFzfzIC&amp;oi=fnd&amp;pg=PP13&amp;dq=why+performance+measures+matter&amp;ots=gKi4GORVB6&amp;sig=7YEeY5XrkwrPlfSHR6ajMh8bj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ults.wa.gov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\Design\HCA%20Agency%20Templates%202016\HCA%20Internal%20Fact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HCA Internal Fact Sheet Template.dot</Template>
  <TotalTime>0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Doe, Jane</dc:creator>
  <cp:keywords/>
  <cp:lastModifiedBy>Nelson, Joslyn  (HCA)</cp:lastModifiedBy>
  <cp:revision>2</cp:revision>
  <dcterms:created xsi:type="dcterms:W3CDTF">2021-04-15T17:05:00Z</dcterms:created>
  <dcterms:modified xsi:type="dcterms:W3CDTF">2021-04-15T17:05:00Z</dcterms:modified>
</cp:coreProperties>
</file>